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26-137</w:t>
      </w:r>
    </w:p>
    <w:p>
      <w:pPr>
        <w:spacing w:before="0" w:after="0" w:line="480"/>
        <w:ind w:left="120"/>
        <w:jc w:val="left"/>
      </w:pPr>
    </w:p>
    <w:p>
      <w:pPr>
        <w:spacing w:before="0" w:after="0" w:line="480"/>
        <w:ind w:left="120"/>
        <w:jc w:val="center"/>
      </w:pPr>
      <w:r>
        <w:rPr>
          <w:rFonts w:ascii="Times New Roman" w:hAnsi="Times New Roman"/>
          <w:b/>
          <w:i w:val="false"/>
          <w:color w:val="000000"/>
          <w:sz w:val="28"/>
        </w:rPr>
        <w:t>AGRICULTURE AND LAND STEWARDSHIP DEPARTMENT[21]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21—Chapter 61</w:t>
      </w:r>
    </w:p>
    <w:p>
      <w:pPr>
        <w:spacing w:before="0" w:after="0" w:line="480"/>
        <w:ind w:left="120"/>
        <w:jc w:val="center"/>
      </w:pPr>
      <w:r>
        <w:rPr>
          <w:rFonts w:ascii="Times New Roman" w:hAnsi="Times New Roman"/>
          <w:b w:val="false"/>
          <w:i w:val="false"/>
          <w:color w:val="000000"/>
          <w:sz w:val="24"/>
        </w:rPr>
        <w:t>“Dead Animal Disposal”</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167.13</w:t>
      </w:r>
    </w:p>
    <w:p>
      <w:pPr>
        <w:spacing w:before="0" w:after="0" w:line="480"/>
        <w:ind w:left="120"/>
        <w:jc w:val="both"/>
      </w:pPr>
      <w:r>
        <w:rPr>
          <w:rFonts w:ascii="Times New Roman" w:hAnsi="Times New Roman"/>
          <w:b w:val="false"/>
          <w:i w:val="false"/>
          <w:color w:val="000000"/>
          <w:sz w:val="24"/>
        </w:rPr>
        <w:t>State or federal law(s) implemented by the rulemaking: Iowa Code chapter 167</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29, 2026</w:t>
            </w:r>
            <w:r>
              <w:br/>
            </w:r>
            <w:r>
              <w:rPr>
                <w:rFonts w:ascii="Times New Roman" w:hAnsi="Times New Roman"/>
                <w:b w:val="false"/>
                <w:i w:val="false"/>
                <w:color w:val="000000"/>
                <w:sz w:val="14"/>
              </w:rPr>
              <w:t>10 to 11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Borlaug Conference Room (H516)</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Department of Agriculture and Land Stewardship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645"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Colin Tadlock</w:t>
            </w:r>
            <w:r>
              <w:br/>
            </w:r>
            <w:r>
              <w:rPr>
                <w:rFonts w:ascii="Times New Roman" w:hAnsi="Times New Roman"/>
                <w:b w:val="false"/>
                <w:i w:val="false"/>
                <w:color w:val="000000"/>
                <w:sz w:val="14"/>
              </w:rPr>
              <w:t>1305 East Walnut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colin.tadlock@iowaagriculture.gov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clarify and update rules for the disposal of dead animals and licensing for disposal plants, collection points and transporters within the State of Iowa. Rules include specification for dead animal disposal plants, collection points and transporters to ensure disease is not spread.</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Persons in the business of disposing of dead animals, including disposal plants, collection points, transporters and persons who own animals, bear the cost of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Iowa livestock producers, animal owners and the public will benefit from this proposed rulemaking, which ensures that animals are properly disposed of and disease is not spread.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licensing fee for disposal plants, collection points and transporters of dead animals has been maintained in this rulemaking. Disposal plants must provide the Department with a copy of their blueprints. Animal owners will bear the cost of disposing of their dead animals.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This rulemaking ensures that dead animals are properly disposed of in a timely manner to prevent the spread of disease.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will bear administrative costs for licensing and inspections.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Inaction would not provide adequate assurances that dead animals are disposed of properly by disposal plants and in a timely manner by animal owners, which could result in the spread of disease impacting Iowa’s agricultural economy.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or less intrusive alternatives exist without impacting animal health.</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alternatives for the time frame to dispose of dead animals and relaxing regulations.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Extending the time frame to dispose of dead animals or relaxing the requirements of disposal plants, collection points or transporters of dead animals would lead to an increased risk of diseases spreading.</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This rulemaking does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21—Chapter 61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61</w:t>
      </w:r>
    </w:p>
    <w:p>
      <w:pPr>
        <w:spacing w:before="0" w:after="0" w:line="480"/>
        <w:ind w:left="120"/>
        <w:jc w:val="center"/>
      </w:pPr>
      <w:r>
        <w:rPr>
          <w:rFonts w:ascii="Times New Roman" w:hAnsi="Times New Roman"/>
          <w:b w:val="false"/>
          <w:i w:val="false"/>
          <w:color w:val="000000"/>
          <w:sz w:val="21"/>
        </w:rPr>
        <w:t>DEAD ANIMAL DISPOSAL</w:t>
      </w:r>
    </w:p>
    <w:p>
      <w:pPr>
        <w:spacing w:before="0" w:after="0" w:line="480"/>
        <w:ind w:left="120"/>
        <w:jc w:val="both"/>
      </w:pPr>
      <w:r>
        <w:rPr>
          <w:rFonts w:ascii="Times New Roman" w:hAnsi="Times New Roman"/>
          <w:b/>
          <w:i w:val="false"/>
          <w:color w:val="000000"/>
          <w:sz w:val="24"/>
        </w:rPr>
        <w:t>21—61.1</w:t>
      </w:r>
      <w:r>
        <w:rPr>
          <w:rFonts w:ascii="Times New Roman" w:hAnsi="Times New Roman"/>
          <w:b/>
          <w:i w:val="false"/>
          <w:color w:val="000000"/>
          <w:sz w:val="24"/>
        </w:rPr>
        <w:t xml:space="preserve">(167) </w:t>
      </w:r>
      <w:r>
        <w:rPr>
          <w:rFonts w:ascii="Times New Roman" w:hAnsi="Times New Roman"/>
          <w:b/>
          <w:i w:val="false"/>
          <w:color w:val="000000"/>
          <w:sz w:val="24"/>
        </w:rPr>
        <w:t xml:space="preserve">Disposal plant specifications. </w:t>
      </w:r>
      <w:r>
        <w:rPr>
          <w:rFonts w:ascii="Times New Roman" w:hAnsi="Times New Roman"/>
          <w:b w:val="false"/>
          <w:i w:val="false"/>
          <w:color w:val="000000"/>
          <w:sz w:val="24"/>
        </w:rPr>
        <w:t>No place shall be deemed suitable or sanitary for disposing of the bodies of dead animals unless it conforms to the following specifications: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61.1(1)</w:t>
      </w:r>
      <w:r>
        <w:rPr>
          <w:rFonts w:ascii="Times New Roman" w:hAnsi="Times New Roman"/>
          <w:b w:val="false"/>
          <w:i w:val="false"/>
          <w:color w:val="000000"/>
          <w:sz w:val="24"/>
        </w:rPr>
        <w:t> </w:t>
      </w:r>
      <w:r>
        <w:rPr>
          <w:rFonts w:ascii="Times New Roman" w:hAnsi="Times New Roman"/>
          <w:b w:val="false"/>
          <w:i w:val="false"/>
          <w:color w:val="000000"/>
          <w:sz w:val="24"/>
        </w:rPr>
        <w:t>No liquid wastes, either from the process or from washings, shall be discharged into any stream or watercourse or on the surface of the 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61.1(2)</w:t>
      </w:r>
      <w:r>
        <w:rPr>
          <w:rFonts w:ascii="Times New Roman" w:hAnsi="Times New Roman"/>
          <w:b w:val="false"/>
          <w:i w:val="false"/>
          <w:color w:val="000000"/>
          <w:sz w:val="24"/>
        </w:rPr>
        <w:t> </w:t>
      </w:r>
      <w:r>
        <w:rPr>
          <w:rFonts w:ascii="Times New Roman" w:hAnsi="Times New Roman"/>
          <w:b w:val="false"/>
          <w:i w:val="false"/>
          <w:color w:val="000000"/>
          <w:sz w:val="24"/>
        </w:rPr>
        <w:t>All sewage from the washing of floors, wagons and trucks and all liquid wastes from the rendering process shall be disposed of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Evaporation.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Sterilization by boiling.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Through a series of septic tanks proven adequate to handle and render nonpathogenic the quantity of material discharged at maximum capacity of the plant.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5">
        <w:r>
          <w:rPr>
            <w:rStyle w:val="Hyperlink"/>
            <w:rFonts w:ascii="Times New Roman" w:hAnsi="Times New Roman"/>
            <w:b w:val="false"/>
            <w:i w:val="false"/>
            <w:color w:val="000000"/>
            <w:sz w:val="24"/>
          </w:rPr>
          <w:t>167.11</w:t>
        </w:r>
      </w:hyperlink>
      <w:r>
        <w:rPr>
          <w:rFonts w:ascii="Times New Roman" w:hAnsi="Times New Roman"/>
          <w:b w:val="false"/>
          <w:i w:val="false"/>
          <w:color w:val="000000"/>
          <w:sz w:val="24"/>
        </w:rPr>
        <w:t xml:space="preserve"> and </w:t>
      </w:r>
      <w:hyperlink r:id="rId6">
        <w:r>
          <w:rPr>
            <w:rStyle w:val="Hyperlink"/>
            <w:rFonts w:ascii="Times New Roman" w:hAnsi="Times New Roman"/>
            <w:b w:val="false"/>
            <w:i w:val="false"/>
            <w:color w:val="000000"/>
            <w:sz w:val="24"/>
          </w:rPr>
          <w:t>167.12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21—61.2</w:t>
      </w:r>
      <w:r>
        <w:rPr>
          <w:rFonts w:ascii="Times New Roman" w:hAnsi="Times New Roman"/>
          <w:b/>
          <w:i w:val="false"/>
          <w:color w:val="000000"/>
          <w:sz w:val="24"/>
        </w:rPr>
        <w:t xml:space="preserve">(167) </w:t>
      </w:r>
      <w:r>
        <w:rPr>
          <w:rFonts w:ascii="Times New Roman" w:hAnsi="Times New Roman"/>
          <w:b/>
          <w:i w:val="false"/>
          <w:color w:val="000000"/>
          <w:sz w:val="24"/>
        </w:rPr>
        <w:t xml:space="preserve">Disposal plant plans. </w:t>
      </w:r>
      <w:r>
        <w:rPr>
          <w:rFonts w:ascii="Times New Roman" w:hAnsi="Times New Roman"/>
          <w:b w:val="false"/>
          <w:i w:val="false"/>
          <w:color w:val="000000"/>
          <w:sz w:val="24"/>
        </w:rPr>
        <w:t>A construction drawing of a disposal plant that is stamped and certified by a licensed professional engineer must be submitted to the department prior to construction. The construction drawing must include any covered or underground portion of the disposal plant and also include any tanks, vats, pipes, drains and valves, in detail. Any alteration in construction that is to be made shall be provided to the department before construction is undertaken.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167.11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21—61.3</w:t>
      </w:r>
      <w:r>
        <w:rPr>
          <w:rFonts w:ascii="Times New Roman" w:hAnsi="Times New Roman"/>
          <w:b/>
          <w:i w:val="false"/>
          <w:color w:val="000000"/>
          <w:sz w:val="24"/>
        </w:rPr>
        <w:t xml:space="preserve">(167) </w:t>
      </w:r>
      <w:r>
        <w:rPr>
          <w:rFonts w:ascii="Times New Roman" w:hAnsi="Times New Roman"/>
          <w:b/>
          <w:i w:val="false"/>
          <w:color w:val="000000"/>
          <w:sz w:val="24"/>
        </w:rPr>
        <w:t xml:space="preserve">Conveyances requirements. </w:t>
      </w:r>
      <w:r>
        <w:rPr>
          <w:rFonts w:ascii="Times New Roman" w:hAnsi="Times New Roman"/>
          <w:b w:val="false"/>
          <w:i w:val="false"/>
          <w:color w:val="000000"/>
          <w:sz w:val="24"/>
        </w:rPr>
        <w:t>Conveyances for transporting carcasses of animals must be provided with a watertight bed or tank not less than 24 inches in depth; be all metal or metal-lined and watertight at least 4 inches above the general level of the bottom of the box or bed; have an endgate that is metal or metal-lined, hinged at the bottom of the box or bed and fastened firmly at the top when closed; and have an endgate with an effect on the inside to fit snugly over the end of the bed.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167.15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21—61.4</w:t>
      </w:r>
      <w:r>
        <w:rPr>
          <w:rFonts w:ascii="Times New Roman" w:hAnsi="Times New Roman"/>
          <w:b/>
          <w:i w:val="false"/>
          <w:color w:val="000000"/>
          <w:sz w:val="24"/>
        </w:rPr>
        <w:t xml:space="preserve">(167) </w:t>
      </w:r>
      <w:r>
        <w:rPr>
          <w:rFonts w:ascii="Times New Roman" w:hAnsi="Times New Roman"/>
          <w:b/>
          <w:i w:val="false"/>
          <w:color w:val="000000"/>
          <w:sz w:val="24"/>
        </w:rPr>
        <w:t xml:space="preserve">Disposal plant trucks. </w:t>
      </w:r>
      <w:r>
        <w:rPr>
          <w:rFonts w:ascii="Times New Roman" w:hAnsi="Times New Roman"/>
          <w:b w:val="false"/>
          <w:i w:val="false"/>
          <w:color w:val="000000"/>
          <w:sz w:val="24"/>
        </w:rPr>
        <w:t>All trucks used for transporting carcasses of dead animals on highways must be owned and operated by a licensed disposal plant. The name, address and license number of the plant shall be painted on both sides of the truck in letters not less than four inches high and in a color in definite contrast to the body color of the truck.</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167.15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21—61.5</w:t>
      </w:r>
      <w:r>
        <w:rPr>
          <w:rFonts w:ascii="Times New Roman" w:hAnsi="Times New Roman"/>
          <w:b/>
          <w:i w:val="false"/>
          <w:color w:val="000000"/>
          <w:sz w:val="24"/>
        </w:rPr>
        <w:t xml:space="preserve">(167) </w:t>
      </w:r>
      <w:r>
        <w:rPr>
          <w:rFonts w:ascii="Times New Roman" w:hAnsi="Times New Roman"/>
          <w:b/>
          <w:i w:val="false"/>
          <w:color w:val="000000"/>
          <w:sz w:val="24"/>
        </w:rPr>
        <w:t xml:space="preserve">Disposal employees. </w:t>
      </w:r>
      <w:r>
        <w:rPr>
          <w:rFonts w:ascii="Times New Roman" w:hAnsi="Times New Roman"/>
          <w:b w:val="false"/>
          <w:i w:val="false"/>
          <w:color w:val="000000"/>
          <w:sz w:val="24"/>
        </w:rPr>
        <w:t>In cases where licensed disposal plants have employees operating trucks in other cities or towns, the employees must operate under the name of the licensed disposal plant by which they are employed, and this applies to all advertisements and listings.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167.15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21—61.6</w:t>
      </w:r>
      <w:r>
        <w:rPr>
          <w:rFonts w:ascii="Times New Roman" w:hAnsi="Times New Roman"/>
          <w:b/>
          <w:i w:val="false"/>
          <w:color w:val="000000"/>
          <w:sz w:val="24"/>
        </w:rPr>
        <w:t xml:space="preserve">(167) </w:t>
      </w:r>
      <w:r>
        <w:rPr>
          <w:rFonts w:ascii="Times New Roman" w:hAnsi="Times New Roman"/>
          <w:b/>
          <w:i w:val="false"/>
          <w:color w:val="000000"/>
          <w:sz w:val="24"/>
        </w:rPr>
        <w:t xml:space="preserve">Tarpaulins. </w:t>
      </w:r>
      <w:r>
        <w:rPr>
          <w:rFonts w:ascii="Times New Roman" w:hAnsi="Times New Roman"/>
          <w:b w:val="false"/>
          <w:i w:val="false"/>
          <w:color w:val="000000"/>
          <w:sz w:val="24"/>
        </w:rPr>
        <w:t>No disposal plant truck shall be moved on the highway without having a tarpaulin that is adequate to cover the bed of the truck and anything contained therein. If any carcass is contained in the truck or the truck has not been thoroughly cleaned, such tarpaulin must be in place covering the bed of the truck and its contents. Such tarpaulin must have no holes through which flies can pass.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
        <w:r>
          <w:rPr>
            <w:rStyle w:val="Hyperlink"/>
            <w:rFonts w:ascii="Times New Roman" w:hAnsi="Times New Roman"/>
            <w:b w:val="false"/>
            <w:i w:val="false"/>
            <w:color w:val="000000"/>
            <w:sz w:val="24"/>
          </w:rPr>
          <w:t>167.15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21—61.7</w:t>
      </w:r>
      <w:r>
        <w:rPr>
          <w:rFonts w:ascii="Times New Roman" w:hAnsi="Times New Roman"/>
          <w:b/>
          <w:i w:val="false"/>
          <w:color w:val="000000"/>
          <w:sz w:val="24"/>
        </w:rPr>
        <w:t xml:space="preserve">(167) </w:t>
      </w:r>
      <w:r>
        <w:rPr>
          <w:rFonts w:ascii="Times New Roman" w:hAnsi="Times New Roman"/>
          <w:b/>
          <w:i w:val="false"/>
          <w:color w:val="000000"/>
          <w:sz w:val="24"/>
        </w:rPr>
        <w:t xml:space="preserve">Disposal vehicles—disinfection. </w:t>
      </w:r>
      <w:r>
        <w:rPr>
          <w:rFonts w:ascii="Times New Roman" w:hAnsi="Times New Roman"/>
          <w:b w:val="false"/>
          <w:i w:val="false"/>
          <w:color w:val="000000"/>
          <w:sz w:val="24"/>
        </w:rPr>
        <w:t>Whenever a vehicle or person in charge thereof has been upon any premises for the purpose of removing the carcass of any animal, or where animals are dead or dying, before such vehicle can be taken upon a public highway or upon other premises and before leaving the premises of the rendering plant on each trip, the wheels of such vehicles and shoes or boots of all persons having been upon such infected premises shall be disinfected thoroughly with an effective disinfectant per the manufacturer’s label. Facilities and materials for disinfection shall be carried on the truck at all times.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2">
        <w:r>
          <w:rPr>
            <w:rStyle w:val="Hyperlink"/>
            <w:rFonts w:ascii="Times New Roman" w:hAnsi="Times New Roman"/>
            <w:b w:val="false"/>
            <w:i w:val="false"/>
            <w:color w:val="000000"/>
            <w:sz w:val="24"/>
          </w:rPr>
          <w:t>167.17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21—61.8</w:t>
      </w:r>
      <w:r>
        <w:rPr>
          <w:rFonts w:ascii="Times New Roman" w:hAnsi="Times New Roman"/>
          <w:b/>
          <w:i w:val="false"/>
          <w:color w:val="000000"/>
          <w:sz w:val="24"/>
        </w:rPr>
        <w:t xml:space="preserve">(167) </w:t>
      </w:r>
      <w:r>
        <w:rPr>
          <w:rFonts w:ascii="Times New Roman" w:hAnsi="Times New Roman"/>
          <w:b/>
          <w:i w:val="false"/>
          <w:color w:val="000000"/>
          <w:sz w:val="24"/>
        </w:rPr>
        <w:t xml:space="preserve">Rendering plant—spraying. </w:t>
      </w:r>
      <w:r>
        <w:rPr>
          <w:rFonts w:ascii="Times New Roman" w:hAnsi="Times New Roman"/>
          <w:b w:val="false"/>
          <w:i w:val="false"/>
          <w:color w:val="000000"/>
          <w:sz w:val="24"/>
        </w:rPr>
        <w:t>It will be necessary for the management of each rendering or processing plant to spray the inside of each building, including the doors, windows and screens, as well as all trucks used in transporting the bodies of dead animals, with a fly control agent to maintain effective fly control.</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3">
        <w:r>
          <w:rPr>
            <w:rStyle w:val="Hyperlink"/>
            <w:rFonts w:ascii="Times New Roman" w:hAnsi="Times New Roman"/>
            <w:b w:val="false"/>
            <w:i w:val="false"/>
            <w:color w:val="000000"/>
            <w:sz w:val="24"/>
          </w:rPr>
          <w:t>167.13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21—61.9</w:t>
      </w:r>
      <w:r>
        <w:rPr>
          <w:rFonts w:ascii="Times New Roman" w:hAnsi="Times New Roman"/>
          <w:b/>
          <w:i w:val="false"/>
          <w:color w:val="000000"/>
          <w:sz w:val="24"/>
        </w:rPr>
        <w:t xml:space="preserve">(167) </w:t>
      </w:r>
      <w:r>
        <w:rPr>
          <w:rFonts w:ascii="Times New Roman" w:hAnsi="Times New Roman"/>
          <w:b/>
          <w:i w:val="false"/>
          <w:color w:val="000000"/>
          <w:sz w:val="24"/>
        </w:rPr>
        <w:t xml:space="preserve">Noncommunicable diseases—carcasses. </w:t>
      </w:r>
      <w:r>
        <w:rPr>
          <w:rFonts w:ascii="Times New Roman" w:hAnsi="Times New Roman"/>
          <w:b w:val="false"/>
          <w:i w:val="false"/>
          <w:color w:val="000000"/>
          <w:sz w:val="24"/>
        </w:rPr>
        <w:t xml:space="preserve">All carcasses of animals dead from noncommunicable diseases shall be disposed of within 48 hours. In the event that the owner neglects or refuses to make such disposition of the carcass(es), then the disposal of the same shall be handled in accordance with rule </w:t>
      </w:r>
      <w:hyperlink r:id="rId14">
        <w:r>
          <w:rPr>
            <w:rStyle w:val="Hyperlink"/>
            <w:rFonts w:ascii="Times New Roman" w:hAnsi="Times New Roman"/>
            <w:b w:val="false"/>
            <w:i w:val="false"/>
            <w:color w:val="000000"/>
            <w:sz w:val="24"/>
          </w:rPr>
          <w:t>21—61.11</w:t>
        </w:r>
      </w:hyperlink>
      <w:r>
        <w:rPr>
          <w:rFonts w:ascii="Times New Roman" w:hAnsi="Times New Roman"/>
          <w:b w:val="false"/>
          <w:i w:val="false"/>
          <w:color w:val="000000"/>
          <w:sz w:val="24"/>
        </w:rPr>
        <w:t>(167).</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5">
        <w:r>
          <w:rPr>
            <w:rStyle w:val="Hyperlink"/>
            <w:rFonts w:ascii="Times New Roman" w:hAnsi="Times New Roman"/>
            <w:b w:val="false"/>
            <w:i w:val="false"/>
            <w:color w:val="000000"/>
            <w:sz w:val="24"/>
          </w:rPr>
          <w:t>167.18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21—61.10</w:t>
      </w:r>
      <w:r>
        <w:rPr>
          <w:rFonts w:ascii="Times New Roman" w:hAnsi="Times New Roman"/>
          <w:b/>
          <w:i w:val="false"/>
          <w:color w:val="000000"/>
          <w:sz w:val="24"/>
        </w:rPr>
        <w:t xml:space="preserve">(167) </w:t>
      </w:r>
      <w:r>
        <w:rPr>
          <w:rFonts w:ascii="Times New Roman" w:hAnsi="Times New Roman"/>
          <w:b/>
          <w:i w:val="false"/>
          <w:color w:val="000000"/>
          <w:sz w:val="24"/>
        </w:rPr>
        <w:t xml:space="preserve">Carcass disposal—streams. </w:t>
      </w:r>
      <w:r>
        <w:rPr>
          <w:rFonts w:ascii="Times New Roman" w:hAnsi="Times New Roman"/>
          <w:b w:val="false"/>
          <w:i w:val="false"/>
          <w:color w:val="000000"/>
          <w:sz w:val="24"/>
        </w:rPr>
        <w:t>All persons are strictly forbidden to throw the carcass of any animal into any river, stream, lake or pond or to bury the carcass of any animal less than 100 feet from any river, stream, lake, pond or tile drain.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6">
        <w:r>
          <w:rPr>
            <w:rStyle w:val="Hyperlink"/>
            <w:rFonts w:ascii="Times New Roman" w:hAnsi="Times New Roman"/>
            <w:b w:val="false"/>
            <w:i w:val="false"/>
            <w:color w:val="000000"/>
            <w:sz w:val="24"/>
          </w:rPr>
          <w:t>167.18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21—61.11</w:t>
      </w:r>
      <w:r>
        <w:rPr>
          <w:rFonts w:ascii="Times New Roman" w:hAnsi="Times New Roman"/>
          <w:b/>
          <w:i w:val="false"/>
          <w:color w:val="000000"/>
          <w:sz w:val="24"/>
        </w:rPr>
        <w:t xml:space="preserve">(167) </w:t>
      </w:r>
      <w:r>
        <w:rPr>
          <w:rFonts w:ascii="Times New Roman" w:hAnsi="Times New Roman"/>
          <w:b/>
          <w:i w:val="false"/>
          <w:color w:val="000000"/>
          <w:sz w:val="24"/>
        </w:rPr>
        <w:t xml:space="preserve">Improper disposal. </w:t>
      </w:r>
      <w:r>
        <w:rPr>
          <w:rFonts w:ascii="Times New Roman" w:hAnsi="Times New Roman"/>
          <w:b w:val="false"/>
          <w:i w:val="false"/>
          <w:color w:val="000000"/>
          <w:sz w:val="24"/>
        </w:rPr>
        <w:t>When the owner of any animal, dead from any cause, neglects or refuses to make proper disposition of the carcasses of such animals, it shall be the duty of the township trustees or local board of health to supervise the disposal of such carcasses.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7">
        <w:r>
          <w:rPr>
            <w:rStyle w:val="Hyperlink"/>
            <w:rFonts w:ascii="Times New Roman" w:hAnsi="Times New Roman"/>
            <w:b w:val="false"/>
            <w:i w:val="false"/>
            <w:color w:val="000000"/>
            <w:sz w:val="24"/>
          </w:rPr>
          <w:t>167.13</w:t>
        </w:r>
      </w:hyperlink>
      <w:r>
        <w:rPr>
          <w:rFonts w:ascii="Times New Roman" w:hAnsi="Times New Roman"/>
          <w:b w:val="false"/>
          <w:i w:val="false"/>
          <w:color w:val="000000"/>
          <w:sz w:val="24"/>
        </w:rPr>
        <w:t>.</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lin.tadlock@iowaagriculture.gov" Type="http://schemas.openxmlformats.org/officeDocument/2006/relationships/hyperlink" Id="rId4"/>
    <Relationship TargetMode="External" Target="https://www.legis.iowa.gov/docs/ico/chapter/167.11.pdf" Type="http://schemas.openxmlformats.org/officeDocument/2006/relationships/hyperlink" Id="rId5"/>
    <Relationship TargetMode="External" Target="https://www.legis.iowa.gov/docs/ico/chapter/167.12.pdf" Type="http://schemas.openxmlformats.org/officeDocument/2006/relationships/hyperlink" Id="rId6"/>
    <Relationship TargetMode="External" Target="https://www.legis.iowa.gov/docs/ico/chapter/167.11.pdf" Type="http://schemas.openxmlformats.org/officeDocument/2006/relationships/hyperlink" Id="rId7"/>
    <Relationship TargetMode="External" Target="https://www.legis.iowa.gov/docs/ico/chapter/167.15.pdf" Type="http://schemas.openxmlformats.org/officeDocument/2006/relationships/hyperlink" Id="rId8"/>
    <Relationship TargetMode="External" Target="https://www.legis.iowa.gov/docs/ico/chapter/167.15.pdf" Type="http://schemas.openxmlformats.org/officeDocument/2006/relationships/hyperlink" Id="rId9"/>
    <Relationship TargetMode="External" Target="https://www.legis.iowa.gov/docs/ico/chapter/167.15.pdf" Type="http://schemas.openxmlformats.org/officeDocument/2006/relationships/hyperlink" Id="rId10"/>
    <Relationship TargetMode="External" Target="https://www.legis.iowa.gov/docs/ico/chapter/167.15.pdf" Type="http://schemas.openxmlformats.org/officeDocument/2006/relationships/hyperlink" Id="rId11"/>
    <Relationship TargetMode="External" Target="https://www.legis.iowa.gov/docs/ico/chapter/167.17.pdf" Type="http://schemas.openxmlformats.org/officeDocument/2006/relationships/hyperlink" Id="rId12"/>
    <Relationship TargetMode="External" Target="https://www.legis.iowa.gov/docs/ico/chapter/167.13.pdf" Type="http://schemas.openxmlformats.org/officeDocument/2006/relationships/hyperlink" Id="rId13"/>
    <Relationship TargetMode="External" Target="https://www.legis.iowa.gov/docs/iac/rule/21.61.11.pdf" Type="http://schemas.openxmlformats.org/officeDocument/2006/relationships/hyperlink" Id="rId14"/>
    <Relationship TargetMode="External" Target="https://www.legis.iowa.gov/docs/ico/chapter/167.18.pdf" Type="http://schemas.openxmlformats.org/officeDocument/2006/relationships/hyperlink" Id="rId15"/>
    <Relationship TargetMode="External" Target="https://www.legis.iowa.gov/docs/ico/chapter/167.18.pdf" Type="http://schemas.openxmlformats.org/officeDocument/2006/relationships/hyperlink" Id="rId16"/>
    <Relationship TargetMode="External" Target="https://www.legis.iowa.gov/docs/ico/chapter/167.1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